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B224D" w14:textId="591BAE03" w:rsidR="00830D82" w:rsidRDefault="000970EF" w:rsidP="00C6088F">
      <w:pPr>
        <w:pStyle w:val="Heading1"/>
        <w:spacing w:before="0"/>
      </w:pPr>
      <w:r>
        <w:t xml:space="preserve">Automatic Withdrawals Toolkit: Internal Messaging Copy </w:t>
      </w:r>
    </w:p>
    <w:p w14:paraId="15151CFC" w14:textId="77777777" w:rsidR="00C6088F" w:rsidRPr="00C6088F" w:rsidRDefault="00C6088F" w:rsidP="00C6088F"/>
    <w:p w14:paraId="742496A8" w14:textId="7A8D03D0" w:rsidR="00830D82" w:rsidRDefault="00250612" w:rsidP="00250612">
      <w:pPr>
        <w:pStyle w:val="Heading2"/>
      </w:pPr>
      <w:r>
        <w:t>Option 1: For those not ready</w:t>
      </w:r>
      <w:r w:rsidR="00CC3036">
        <w:t>/eligible</w:t>
      </w:r>
      <w:r>
        <w:t xml:space="preserve"> to withdraw </w:t>
      </w:r>
    </w:p>
    <w:p w14:paraId="2E95B488" w14:textId="77777777" w:rsidR="00CF1B23" w:rsidRPr="00CF1B23" w:rsidRDefault="00CF1B23" w:rsidP="00CF1B23">
      <w:pPr>
        <w:rPr>
          <w:b/>
          <w:bCs/>
        </w:rPr>
      </w:pPr>
      <w:r w:rsidRPr="00CF1B23">
        <w:rPr>
          <w:b/>
          <w:bCs/>
        </w:rPr>
        <w:t>Learn to turn your retirement savings into reliable income</w:t>
      </w:r>
    </w:p>
    <w:p w14:paraId="48ECDD10" w14:textId="47601B07" w:rsidR="00CF1B23" w:rsidRPr="00CF1B23" w:rsidRDefault="00CF1B23" w:rsidP="00CF1B23">
      <w:r w:rsidRPr="00CF1B23">
        <w:t>You’re doing the hard part. You’re saving for retirement. Now we can help you understand how</w:t>
      </w:r>
      <w:r>
        <w:t xml:space="preserve"> </w:t>
      </w:r>
      <w:r w:rsidRPr="00CF1B23">
        <w:t xml:space="preserve">that savings can become retirement income. The Fidelity </w:t>
      </w:r>
      <w:hyperlink r:id="rId5" w:history="1">
        <w:r w:rsidRPr="00CF1B23">
          <w:rPr>
            <w:rStyle w:val="Hyperlink"/>
          </w:rPr>
          <w:t>Automatic Withdrawals tool</w:t>
        </w:r>
      </w:hyperlink>
      <w:r w:rsidRPr="00CF1B23">
        <w:t xml:space="preserve"> shows you</w:t>
      </w:r>
      <w:r>
        <w:t xml:space="preserve"> </w:t>
      </w:r>
      <w:r w:rsidRPr="00CF1B23">
        <w:t>how to turn your workplace savings into the money you can use in retirement.</w:t>
      </w:r>
    </w:p>
    <w:p w14:paraId="41E986DA" w14:textId="77777777" w:rsidR="00CF1B23" w:rsidRPr="00CF1B23" w:rsidRDefault="00CF1B23" w:rsidP="00CF1B23">
      <w:r w:rsidRPr="00CF1B23">
        <w:t>With Automatic Withdrawals you can see:</w:t>
      </w:r>
    </w:p>
    <w:p w14:paraId="36E74372" w14:textId="7E49081C" w:rsidR="00CF1B23" w:rsidRPr="00CF1B23" w:rsidRDefault="00CF1B23" w:rsidP="00CF1B23">
      <w:pPr>
        <w:pStyle w:val="ListParagraph"/>
        <w:numPr>
          <w:ilvl w:val="0"/>
          <w:numId w:val="1"/>
        </w:numPr>
      </w:pPr>
      <w:r w:rsidRPr="00CF1B23">
        <w:t>How much might you receive</w:t>
      </w:r>
    </w:p>
    <w:p w14:paraId="6113359E" w14:textId="078A0C1D" w:rsidR="00CF1B23" w:rsidRPr="00CF1B23" w:rsidRDefault="00CF1B23" w:rsidP="00CF1B23">
      <w:pPr>
        <w:pStyle w:val="ListParagraph"/>
        <w:numPr>
          <w:ilvl w:val="0"/>
          <w:numId w:val="1"/>
        </w:numPr>
      </w:pPr>
      <w:r w:rsidRPr="00CF1B23">
        <w:t>How long your money can last</w:t>
      </w:r>
    </w:p>
    <w:p w14:paraId="38FCD9FF" w14:textId="7C131880" w:rsidR="00CF1B23" w:rsidRPr="00CF1B23" w:rsidRDefault="00CF1B23" w:rsidP="00CF1B23">
      <w:pPr>
        <w:pStyle w:val="ListParagraph"/>
        <w:numPr>
          <w:ilvl w:val="0"/>
          <w:numId w:val="1"/>
        </w:numPr>
      </w:pPr>
      <w:r w:rsidRPr="00CF1B23">
        <w:t xml:space="preserve">What </w:t>
      </w:r>
      <w:r w:rsidR="005E79E6">
        <w:t xml:space="preserve">the estimated remaining balance might be </w:t>
      </w:r>
    </w:p>
    <w:p w14:paraId="108F460F" w14:textId="31B4AE4A" w:rsidR="00A46D32" w:rsidRDefault="00CF1B23" w:rsidP="00CF1B23">
      <w:r w:rsidRPr="00CF1B23">
        <w:t xml:space="preserve">Once you reach retirement age you can schedule regular </w:t>
      </w:r>
      <w:r w:rsidR="009B6F98">
        <w:t>withdrawal</w:t>
      </w:r>
      <w:r w:rsidRPr="00CF1B23">
        <w:t>s from your retirement</w:t>
      </w:r>
      <w:r>
        <w:t xml:space="preserve"> </w:t>
      </w:r>
      <w:r w:rsidRPr="00CF1B23">
        <w:t>accounts to your bank account—just like a paycheck</w:t>
      </w:r>
      <w:r w:rsidR="00C6088F">
        <w:t>.</w:t>
      </w:r>
    </w:p>
    <w:p w14:paraId="7946B9CF" w14:textId="77777777" w:rsidR="007F757D" w:rsidRPr="007F757D" w:rsidRDefault="007F757D" w:rsidP="007F757D"/>
    <w:p w14:paraId="2953444B" w14:textId="7092D352" w:rsidR="007F757D" w:rsidRPr="007F757D" w:rsidRDefault="007F757D" w:rsidP="00CF467C">
      <w:pPr>
        <w:spacing w:after="0"/>
        <w:rPr>
          <w:sz w:val="20"/>
          <w:szCs w:val="20"/>
        </w:rPr>
      </w:pPr>
      <w:r w:rsidRPr="007F757D">
        <w:rPr>
          <w:b/>
          <w:bCs/>
          <w:sz w:val="20"/>
          <w:szCs w:val="20"/>
        </w:rPr>
        <w:t xml:space="preserve">Investing involves risk, including risk of loss. </w:t>
      </w:r>
    </w:p>
    <w:p w14:paraId="7A6FC217" w14:textId="39EBD8BE" w:rsidR="007F757D" w:rsidRPr="007F757D" w:rsidRDefault="007F757D" w:rsidP="00CF467C">
      <w:pPr>
        <w:spacing w:after="0"/>
        <w:rPr>
          <w:sz w:val="20"/>
          <w:szCs w:val="20"/>
        </w:rPr>
      </w:pPr>
      <w:r w:rsidRPr="007F757D">
        <w:rPr>
          <w:sz w:val="20"/>
          <w:szCs w:val="20"/>
        </w:rPr>
        <w:t xml:space="preserve">Fidelity Brokerage Services LLC, Member NYSE, </w:t>
      </w:r>
      <w:hyperlink r:id="rId6" w:history="1">
        <w:r w:rsidRPr="007F757D">
          <w:rPr>
            <w:rStyle w:val="Hyperlink"/>
            <w:sz w:val="20"/>
            <w:szCs w:val="20"/>
          </w:rPr>
          <w:t>SIPC</w:t>
        </w:r>
      </w:hyperlink>
      <w:r w:rsidRPr="007F757D">
        <w:rPr>
          <w:sz w:val="20"/>
          <w:szCs w:val="20"/>
        </w:rPr>
        <w:t xml:space="preserve">, 900 Salem Street, Smithfield, RI 02917 </w:t>
      </w:r>
    </w:p>
    <w:p w14:paraId="42F29C6B" w14:textId="5116184C" w:rsidR="007F757D" w:rsidRPr="007F757D" w:rsidRDefault="007F757D" w:rsidP="00CF467C">
      <w:pPr>
        <w:spacing w:after="0"/>
        <w:rPr>
          <w:sz w:val="20"/>
          <w:szCs w:val="20"/>
        </w:rPr>
      </w:pPr>
      <w:r w:rsidRPr="007F757D">
        <w:rPr>
          <w:sz w:val="20"/>
          <w:szCs w:val="20"/>
        </w:rPr>
        <w:t>© 202</w:t>
      </w:r>
      <w:r w:rsidR="00CF467C">
        <w:rPr>
          <w:sz w:val="20"/>
          <w:szCs w:val="20"/>
        </w:rPr>
        <w:t xml:space="preserve">6 </w:t>
      </w:r>
      <w:r w:rsidRPr="007F757D">
        <w:rPr>
          <w:sz w:val="20"/>
          <w:szCs w:val="20"/>
        </w:rPr>
        <w:t xml:space="preserve">FMR LLC. All rights reserved. </w:t>
      </w:r>
    </w:p>
    <w:p w14:paraId="41749A0C" w14:textId="77777777" w:rsidR="00323297" w:rsidRPr="00323297" w:rsidRDefault="00323297" w:rsidP="00323297">
      <w:pPr>
        <w:spacing w:after="0"/>
        <w:rPr>
          <w:sz w:val="20"/>
          <w:szCs w:val="20"/>
        </w:rPr>
      </w:pPr>
      <w:r w:rsidRPr="00323297">
        <w:rPr>
          <w:sz w:val="20"/>
          <w:szCs w:val="20"/>
        </w:rPr>
        <w:t>1244119.1.0</w:t>
      </w:r>
    </w:p>
    <w:p w14:paraId="3EB6F053" w14:textId="5D5C8559" w:rsidR="00BE638B" w:rsidRPr="00CF467C" w:rsidRDefault="00BE638B" w:rsidP="00323297">
      <w:pPr>
        <w:spacing w:after="0"/>
        <w:rPr>
          <w:sz w:val="20"/>
          <w:szCs w:val="20"/>
        </w:rPr>
      </w:pPr>
    </w:p>
    <w:sectPr w:rsidR="00BE638B" w:rsidRPr="00CF4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A6FF9"/>
    <w:multiLevelType w:val="multilevel"/>
    <w:tmpl w:val="D9621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A2F38"/>
    <w:multiLevelType w:val="hybridMultilevel"/>
    <w:tmpl w:val="4A620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817C9"/>
    <w:multiLevelType w:val="hybridMultilevel"/>
    <w:tmpl w:val="C4D0F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E15761"/>
    <w:multiLevelType w:val="multilevel"/>
    <w:tmpl w:val="EA240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2273145">
    <w:abstractNumId w:val="2"/>
  </w:num>
  <w:num w:numId="2" w16cid:durableId="1738896608">
    <w:abstractNumId w:val="1"/>
  </w:num>
  <w:num w:numId="3" w16cid:durableId="2010519126">
    <w:abstractNumId w:val="3"/>
  </w:num>
  <w:num w:numId="4" w16cid:durableId="630014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47D"/>
    <w:rsid w:val="000970EF"/>
    <w:rsid w:val="000A46B9"/>
    <w:rsid w:val="00123EFF"/>
    <w:rsid w:val="00250612"/>
    <w:rsid w:val="00323297"/>
    <w:rsid w:val="00446C50"/>
    <w:rsid w:val="0047402E"/>
    <w:rsid w:val="00511907"/>
    <w:rsid w:val="005E79E6"/>
    <w:rsid w:val="007F757D"/>
    <w:rsid w:val="00830D82"/>
    <w:rsid w:val="008476DE"/>
    <w:rsid w:val="009B6F98"/>
    <w:rsid w:val="00A46D32"/>
    <w:rsid w:val="00AE533A"/>
    <w:rsid w:val="00AF532D"/>
    <w:rsid w:val="00BB76B9"/>
    <w:rsid w:val="00BE638B"/>
    <w:rsid w:val="00C6088F"/>
    <w:rsid w:val="00CB447D"/>
    <w:rsid w:val="00CC3036"/>
    <w:rsid w:val="00CF1B23"/>
    <w:rsid w:val="00CF467C"/>
    <w:rsid w:val="00D440F4"/>
    <w:rsid w:val="00DD4B9F"/>
    <w:rsid w:val="00F5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2120C"/>
  <w15:chartTrackingRefBased/>
  <w15:docId w15:val="{A28D5B48-C0E4-4D31-A593-8FB313299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44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44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47D"/>
    <w:pPr>
      <w:keepNext/>
      <w:keepLines/>
      <w:spacing w:before="160" w:after="80"/>
      <w:outlineLvl w:val="2"/>
    </w:pPr>
    <w:rPr>
      <w:rFonts w:eastAsiaTheme="majorEastAsia" w:cstheme="majorBidi"/>
      <w:color w:val="28641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4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8641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47D"/>
    <w:pPr>
      <w:keepNext/>
      <w:keepLines/>
      <w:spacing w:before="80" w:after="40"/>
      <w:outlineLvl w:val="4"/>
    </w:pPr>
    <w:rPr>
      <w:rFonts w:eastAsiaTheme="majorEastAsia" w:cstheme="majorBidi"/>
      <w:color w:val="28641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4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4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4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4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47D"/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B447D"/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47D"/>
    <w:rPr>
      <w:rFonts w:eastAsiaTheme="majorEastAsia" w:cstheme="majorBidi"/>
      <w:color w:val="28641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47D"/>
    <w:rPr>
      <w:rFonts w:eastAsiaTheme="majorEastAsia" w:cstheme="majorBidi"/>
      <w:i/>
      <w:iCs/>
      <w:color w:val="28641D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47D"/>
    <w:rPr>
      <w:rFonts w:eastAsiaTheme="majorEastAsia" w:cstheme="majorBidi"/>
      <w:color w:val="28641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4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4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4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4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4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4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447D"/>
    <w:rPr>
      <w:i/>
      <w:iCs/>
      <w:color w:val="28641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47D"/>
    <w:pPr>
      <w:pBdr>
        <w:top w:val="single" w:sz="4" w:space="10" w:color="28641D" w:themeColor="accent1" w:themeShade="BF"/>
        <w:bottom w:val="single" w:sz="4" w:space="10" w:color="28641D" w:themeColor="accent1" w:themeShade="BF"/>
      </w:pBdr>
      <w:spacing w:before="360" w:after="360"/>
      <w:ind w:left="864" w:right="864"/>
      <w:jc w:val="center"/>
    </w:pPr>
    <w:rPr>
      <w:i/>
      <w:iCs/>
      <w:color w:val="28641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47D"/>
    <w:rPr>
      <w:i/>
      <w:iCs/>
      <w:color w:val="28641D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47D"/>
    <w:rPr>
      <w:b/>
      <w:bCs/>
      <w:smallCaps/>
      <w:color w:val="28641D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C3036"/>
    <w:rPr>
      <w:color w:val="36872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30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ipc.org/" TargetMode="External"/><Relationship Id="rId5" Type="http://schemas.openxmlformats.org/officeDocument/2006/relationships/hyperlink" Target="https://nb.fidelity.com/public/nb/default/home?option=autowithdrawal&amp;ccsource=dw_nb_plclient_awdinelig_q12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Fidelity">
      <a:dk1>
        <a:srgbClr val="000000"/>
      </a:dk1>
      <a:lt1>
        <a:srgbClr val="FFFFFF"/>
      </a:lt1>
      <a:dk2>
        <a:srgbClr val="403F3E"/>
      </a:dk2>
      <a:lt2>
        <a:srgbClr val="F7F4E4"/>
      </a:lt2>
      <a:accent1>
        <a:srgbClr val="368727"/>
      </a:accent1>
      <a:accent2>
        <a:srgbClr val="044014"/>
      </a:accent2>
      <a:accent3>
        <a:srgbClr val="6AD539"/>
      </a:accent3>
      <a:accent4>
        <a:srgbClr val="1DE4CA"/>
      </a:accent4>
      <a:accent5>
        <a:srgbClr val="3880F3"/>
      </a:accent5>
      <a:accent6>
        <a:srgbClr val="04547C"/>
      </a:accent6>
      <a:hlink>
        <a:srgbClr val="368727"/>
      </a:hlink>
      <a:folHlink>
        <a:srgbClr val="368727"/>
      </a:folHlink>
    </a:clrScheme>
    <a:fontScheme name="Fidelity">
      <a:majorFont>
        <a:latin typeface="Fidelity Slab Light"/>
        <a:ea typeface=""/>
        <a:cs typeface=""/>
      </a:majorFont>
      <a:minorFont>
        <a:latin typeface="Fidelity Sans 2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909</Characters>
  <Application>Microsoft Office Word</Application>
  <DocSecurity>0</DocSecurity>
  <Lines>7</Lines>
  <Paragraphs>2</Paragraphs>
  <ScaleCrop>false</ScaleCrop>
  <Company>Fidelity Investments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3</cp:revision>
  <dcterms:created xsi:type="dcterms:W3CDTF">2026-02-23T15:38:00Z</dcterms:created>
  <dcterms:modified xsi:type="dcterms:W3CDTF">2026-02-23T15:39:00Z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2026-01-05T19:09:58Z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55534114-ce55-4e73-a5f5-e833efb54d36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